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0F" w:rsidRDefault="006461A3">
      <w:pPr>
        <w:spacing w:after="8" w:line="251" w:lineRule="auto"/>
        <w:ind w:left="1723" w:right="1714"/>
        <w:jc w:val="center"/>
      </w:pPr>
      <w:bookmarkStart w:id="0" w:name="_GoBack"/>
      <w:bookmarkEnd w:id="0"/>
      <w:r>
        <w:rPr>
          <w:b/>
        </w:rPr>
        <w:t>UNITED STATES DISTRICT COURT</w:t>
      </w:r>
    </w:p>
    <w:p w:rsidR="0051160F" w:rsidRDefault="006461A3">
      <w:pPr>
        <w:spacing w:after="553" w:line="251" w:lineRule="auto"/>
        <w:ind w:left="1723" w:right="1715"/>
        <w:jc w:val="center"/>
      </w:pPr>
      <w:r>
        <w:rPr>
          <w:b/>
        </w:rPr>
        <w:t>NORTHERN DISTRICT OF FLORIDA TALLAHASSEE DIVISION</w:t>
      </w:r>
    </w:p>
    <w:p w:rsidR="0051160F" w:rsidRDefault="006461A3">
      <w:pPr>
        <w:spacing w:after="255" w:line="265" w:lineRule="auto"/>
        <w:ind w:left="-5"/>
      </w:pPr>
      <w:r>
        <w:rPr>
          <w:b/>
        </w:rPr>
        <w:t>UNITED STATES OF AMERICA</w:t>
      </w:r>
    </w:p>
    <w:p w:rsidR="0051160F" w:rsidRDefault="006461A3">
      <w:pPr>
        <w:tabs>
          <w:tab w:val="center" w:pos="6695"/>
        </w:tabs>
        <w:spacing w:after="543" w:line="265" w:lineRule="auto"/>
        <w:ind w:left="-15" w:firstLine="0"/>
      </w:pPr>
      <w:r>
        <w:rPr>
          <w:b/>
        </w:rPr>
        <w:t>v.</w:t>
      </w:r>
      <w:r>
        <w:rPr>
          <w:b/>
        </w:rPr>
        <w:tab/>
        <w:t>CASE NO. XXXX</w:t>
      </w:r>
    </w:p>
    <w:p w:rsidR="0051160F" w:rsidRDefault="006461A3">
      <w:pPr>
        <w:spacing w:after="0" w:line="265" w:lineRule="auto"/>
        <w:ind w:left="-5"/>
      </w:pPr>
      <w:r>
        <w:rPr>
          <w:b/>
        </w:rPr>
        <w:t>CHARLES SMITH*</w:t>
      </w:r>
    </w:p>
    <w:p w:rsidR="0051160F" w:rsidRDefault="006461A3">
      <w:pPr>
        <w:spacing w:after="255" w:line="265" w:lineRule="auto"/>
        <w:ind w:left="-5"/>
      </w:pPr>
      <w:r>
        <w:rPr>
          <w:b/>
        </w:rPr>
        <w:t>________________________________/</w:t>
      </w:r>
    </w:p>
    <w:p w:rsidR="0051160F" w:rsidRDefault="006461A3">
      <w:pPr>
        <w:spacing w:after="265" w:line="251" w:lineRule="auto"/>
        <w:ind w:left="1723" w:right="1716"/>
        <w:jc w:val="center"/>
      </w:pPr>
      <w:r>
        <w:rPr>
          <w:b/>
        </w:rPr>
        <w:t>SENTENCING MEMORANDUM</w:t>
      </w:r>
    </w:p>
    <w:p w:rsidR="0051160F" w:rsidRDefault="006461A3">
      <w:pPr>
        <w:spacing w:line="483" w:lineRule="auto"/>
        <w:ind w:left="-15" w:right="-15" w:firstLine="720"/>
        <w:jc w:val="both"/>
      </w:pPr>
      <w:r>
        <w:t>Defendant, Charles Smith, files this Sentencing Memorandum to (a) address the issue of whether his prior conviction for the offense of burglary of a dwelling is a “crime of violence” for purposes of §2K2.1 of the United States Sentencing Guidelines and (b)</w:t>
      </w:r>
      <w:r>
        <w:t xml:space="preserve"> urge this Court to, in arriving at his sentence, consider the new definition of crime of violence found in the amendment to the</w:t>
      </w:r>
    </w:p>
    <w:p w:rsidR="0051160F" w:rsidRDefault="006461A3">
      <w:pPr>
        <w:spacing w:after="258" w:line="259" w:lineRule="auto"/>
        <w:ind w:left="-5" w:right="13"/>
      </w:pPr>
      <w:r>
        <w:t xml:space="preserve">United States Sentencing Guideline that is scheduled to take effect on August 1, 2016. </w:t>
      </w:r>
    </w:p>
    <w:p w:rsidR="0051160F" w:rsidRDefault="006461A3">
      <w:pPr>
        <w:pStyle w:val="Heading1"/>
      </w:pPr>
      <w:r>
        <w:t>Crime of Violence</w:t>
      </w:r>
    </w:p>
    <w:p w:rsidR="0051160F" w:rsidRDefault="006461A3">
      <w:pPr>
        <w:ind w:left="-15" w:right="13" w:firstLine="720"/>
      </w:pPr>
      <w:r>
        <w:t>Though the Eleventh C</w:t>
      </w:r>
      <w:r>
        <w:t>ircuit Court of Appeals would hold otherwise, Mr. Smith contends that his 2013 Leon County conviction for burglary of a dwelling is not a “crime of violence” for purposes of USSG §2K2.1. The United States Sentencing Commission has defined the term  as an o</w:t>
      </w:r>
      <w:r>
        <w:t>ffense punishable by more than a year in prison that “(1) has as an element the use, attempted use, or threatened use of physical force against the person of another, or (2) is burglary of a dwelling, arson, or extortion, involves use of explosives, or oth</w:t>
      </w:r>
      <w:r>
        <w:t>erwise involves conduct that presents a serious potential risk of physical injury to another.”  USSG §4B1.2(a).</w:t>
      </w:r>
    </w:p>
    <w:p w:rsidR="0051160F" w:rsidRDefault="006461A3">
      <w:pPr>
        <w:ind w:left="-15" w:right="13" w:firstLine="720"/>
      </w:pPr>
      <w:r>
        <w:lastRenderedPageBreak/>
        <w:t>Florida’s burglary statute allows a conviction for the offense if the intruder enters the curtilage and does not require that the intruder enter</w:t>
      </w:r>
      <w:r>
        <w:t xml:space="preserve"> the dwelling.  </w:t>
      </w:r>
      <w:r>
        <w:rPr>
          <w:i/>
        </w:rPr>
        <w:t>See</w:t>
      </w:r>
      <w:r>
        <w:t xml:space="preserve"> Fla. Stat. § 810.011(2) (defining a dwelling as “a building or conveyance  of any kind, including any attached porch, whether such building or conveyance is temporary or permanent, mobile or immobile, which has a roof over it and is des</w:t>
      </w:r>
      <w:r>
        <w:t xml:space="preserve">igned to be occupied by people lodging therein at night, </w:t>
      </w:r>
      <w:r>
        <w:rPr>
          <w:i/>
        </w:rPr>
        <w:t>together with the curtilage thereof</w:t>
      </w:r>
      <w:r>
        <w:t xml:space="preserve">” (emphasis added).The inclusion of “curtilage” makes the statute non-generic. </w:t>
      </w:r>
      <w:r>
        <w:rPr>
          <w:i/>
        </w:rPr>
        <w:t>See</w:t>
      </w:r>
      <w:r>
        <w:t xml:space="preserve"> </w:t>
      </w:r>
      <w:r>
        <w:rPr>
          <w:u w:val="single" w:color="000000"/>
        </w:rPr>
        <w:t>James v. United States</w:t>
      </w:r>
      <w:r>
        <w:t>, 550 U.S. 192, 212 (2007) (“We agree that the inclusion of</w:t>
      </w:r>
      <w:r>
        <w:t xml:space="preserve"> curtilage takes Florida’s underlying offense of burglary outside the definition of ‘generic burglary’ set forth in </w:t>
      </w:r>
      <w:r>
        <w:rPr>
          <w:u w:val="single" w:color="000000"/>
        </w:rPr>
        <w:t xml:space="preserve">Taylor </w:t>
      </w:r>
      <w:r>
        <w:t xml:space="preserve">. . .”), </w:t>
      </w:r>
      <w:r>
        <w:rPr>
          <w:i/>
        </w:rPr>
        <w:t>overruled on other grounds by</w:t>
      </w:r>
      <w:r>
        <w:rPr>
          <w:u w:val="single" w:color="000000"/>
        </w:rPr>
        <w:t xml:space="preserve"> Johnson v. United States</w:t>
      </w:r>
      <w:r>
        <w:t>, 135 St. Ct. 2551</w:t>
      </w:r>
    </w:p>
    <w:p w:rsidR="0051160F" w:rsidRDefault="006461A3">
      <w:pPr>
        <w:ind w:left="-5" w:right="13"/>
      </w:pPr>
      <w:r>
        <w:t xml:space="preserve">(2015); and </w:t>
      </w:r>
      <w:r>
        <w:rPr>
          <w:u w:val="single" w:color="000000"/>
        </w:rPr>
        <w:t>Williams v. Warden</w:t>
      </w:r>
      <w:r>
        <w:t>, 713 F.3d 1332, 1345 (11</w:t>
      </w:r>
      <w:r>
        <w:rPr>
          <w:sz w:val="22"/>
          <w:vertAlign w:val="superscript"/>
        </w:rPr>
        <w:t>th</w:t>
      </w:r>
      <w:r>
        <w:t xml:space="preserve"> Cir. 2013) (because “Fla. Stat. § 810.02 defines dwelling to include both the structure and its surrounding curtilage, </w:t>
      </w:r>
      <w:r>
        <w:rPr>
          <w:u w:val="single" w:color="000000"/>
        </w:rPr>
        <w:t xml:space="preserve">Taylor </w:t>
      </w:r>
      <w:r>
        <w:t>rendered it impossible to hold that § 810.02 was categorically a violent felony under the ACCA’s enume</w:t>
      </w:r>
      <w:r>
        <w:t xml:space="preserve">rated clause”), </w:t>
      </w:r>
      <w:r>
        <w:rPr>
          <w:i/>
        </w:rPr>
        <w:t>cert. denied</w:t>
      </w:r>
      <w:r>
        <w:t>, 135 S. Ct. 52 (2014).</w:t>
      </w:r>
    </w:p>
    <w:p w:rsidR="0051160F" w:rsidRDefault="006461A3">
      <w:pPr>
        <w:ind w:left="-15" w:right="13" w:firstLine="720"/>
      </w:pPr>
      <w:r>
        <w:t xml:space="preserve">The statute is also “indivisible” as that term is used in </w:t>
      </w:r>
      <w:r>
        <w:rPr>
          <w:u w:val="single" w:color="000000"/>
        </w:rPr>
        <w:t>Descamps v. United States</w:t>
      </w:r>
      <w:r>
        <w:t xml:space="preserve">, 133 St. Ct.  2276, 2282 (2013).  In </w:t>
      </w:r>
      <w:r>
        <w:rPr>
          <w:u w:val="single" w:color="000000"/>
        </w:rPr>
        <w:t>United States v. Lockett</w:t>
      </w:r>
      <w:r>
        <w:t>, 810 F.3d 1262, 1265 (11</w:t>
      </w:r>
      <w:r>
        <w:rPr>
          <w:sz w:val="22"/>
          <w:vertAlign w:val="superscript"/>
        </w:rPr>
        <w:t>th</w:t>
      </w:r>
      <w:r>
        <w:t xml:space="preserve"> Cir. 2015), the court vacated a</w:t>
      </w:r>
      <w:r>
        <w:t xml:space="preserve">n Armed Career Criminal Act enhancement predicated on two South Carolina burglary convictions, holding that the South Carolina burglary statute was non-generic, overboard, and indivisible under </w:t>
      </w:r>
      <w:r>
        <w:rPr>
          <w:u w:val="single" w:color="000000"/>
        </w:rPr>
        <w:t>Descamps</w:t>
      </w:r>
      <w:r>
        <w:t>.</w:t>
      </w:r>
      <w:r>
        <w:rPr>
          <w:sz w:val="22"/>
          <w:vertAlign w:val="superscript"/>
        </w:rPr>
        <w:footnoteReference w:id="1"/>
      </w:r>
      <w:r>
        <w:t xml:space="preserve"> Using an example that mirrors the Florida burglary </w:t>
      </w:r>
      <w:r>
        <w:t xml:space="preserve">statute, the court recognized that a burglary statute would be indivisible if it included curtilage </w:t>
      </w:r>
      <w:r>
        <w:lastRenderedPageBreak/>
        <w:t>and did not require the jury to determine whether the entry was made into the curtilage or the dwelling:</w:t>
      </w:r>
    </w:p>
    <w:p w:rsidR="0051160F" w:rsidRDefault="006461A3">
      <w:pPr>
        <w:ind w:left="730" w:right="13"/>
      </w:pPr>
      <w:r>
        <w:t>Suppose a burglary statute requires entry of a “dwe</w:t>
      </w:r>
      <w:r>
        <w:t>lling” and then defines</w:t>
      </w:r>
    </w:p>
    <w:p w:rsidR="0051160F" w:rsidRDefault="006461A3">
      <w:pPr>
        <w:spacing w:after="280" w:line="241" w:lineRule="auto"/>
        <w:ind w:left="730" w:right="722"/>
      </w:pPr>
      <w:r>
        <w:t xml:space="preserve">dwelling as “either a house or its curtilage.” The fact that this list looks exhaustive and separates curtilage with an “or” doesn’t tell us whether jurors were required to decide whether the defendant actually entered the house or </w:t>
      </w:r>
      <w:r>
        <w:t xml:space="preserve">only the curtilage.  And if a statute “does not require the fact finder (whether jury or judge) to make that determination,” then it is indivisible. </w:t>
      </w:r>
      <w:r>
        <w:rPr>
          <w:u w:val="single" w:color="000000"/>
        </w:rPr>
        <w:t>Decamps</w:t>
      </w:r>
      <w:r>
        <w:t>, 133 Sup. Ct. 2293.</w:t>
      </w:r>
    </w:p>
    <w:p w:rsidR="0051160F" w:rsidRDefault="006461A3">
      <w:pPr>
        <w:spacing w:after="259" w:line="259" w:lineRule="auto"/>
        <w:ind w:left="-5" w:right="13"/>
      </w:pPr>
      <w:r>
        <w:rPr>
          <w:u w:val="single" w:color="000000"/>
        </w:rPr>
        <w:t>Lockett</w:t>
      </w:r>
      <w:r>
        <w:t xml:space="preserve"> at 1268.  </w:t>
      </w:r>
    </w:p>
    <w:p w:rsidR="0051160F" w:rsidRDefault="006461A3">
      <w:pPr>
        <w:ind w:left="-15" w:right="13" w:firstLine="720"/>
      </w:pPr>
      <w:r>
        <w:t>The Florida Supreme Court has held that curtilage is part of</w:t>
      </w:r>
      <w:r>
        <w:t xml:space="preserve"> the structure or building and that burglaries involving the curtilage don’t represent a separate crime:</w:t>
      </w:r>
    </w:p>
    <w:p w:rsidR="0051160F" w:rsidRDefault="006461A3">
      <w:pPr>
        <w:spacing w:after="280" w:line="241" w:lineRule="auto"/>
        <w:ind w:left="730" w:right="729"/>
      </w:pPr>
      <w:r>
        <w:t>There is no crime denominated burglary of a curtilage; the curtilage is not a separate location wherein a burglary can occur.  Rather it is an integral</w:t>
      </w:r>
      <w:r>
        <w:t xml:space="preserve"> part of the structure or dwelling that surrounds it.  Entry onto the curtilage is, for the purposes of the burglary statute, entry into a structure or dwelling.</w:t>
      </w:r>
    </w:p>
    <w:p w:rsidR="0051160F" w:rsidRDefault="006461A3">
      <w:pPr>
        <w:ind w:left="-5" w:right="13"/>
      </w:pPr>
      <w:r>
        <w:rPr>
          <w:u w:val="single" w:color="000000"/>
        </w:rPr>
        <w:t>Baker v. State</w:t>
      </w:r>
      <w:r>
        <w:t xml:space="preserve">, 636 So.2d 1342, 1344 (Fla. 1994).  Florida’s standard burglary instruction is </w:t>
      </w:r>
      <w:r>
        <w:t xml:space="preserve">consistent with </w:t>
      </w:r>
      <w:r>
        <w:rPr>
          <w:u w:val="single" w:color="000000"/>
        </w:rPr>
        <w:t>Baker</w:t>
      </w:r>
      <w:r>
        <w:t xml:space="preserve">’s description of the offense and does not require jurors to determine whether the defendant entered a building or the curtilage.  </w:t>
      </w:r>
      <w:r>
        <w:rPr>
          <w:i/>
        </w:rPr>
        <w:t>See</w:t>
      </w:r>
      <w:r>
        <w:t xml:space="preserve"> </w:t>
      </w:r>
      <w:r>
        <w:rPr>
          <w:u w:val="single" w:color="000000"/>
        </w:rPr>
        <w:t>Fla. Std. Jury Instr.</w:t>
      </w:r>
      <w:r>
        <w:t xml:space="preserve"> (Crim.) 13.1. </w:t>
      </w:r>
      <w:r>
        <w:rPr>
          <w:sz w:val="22"/>
          <w:vertAlign w:val="superscript"/>
        </w:rPr>
        <w:t>2</w:t>
      </w:r>
      <w:r>
        <w:t xml:space="preserve"> </w:t>
      </w:r>
    </w:p>
    <w:p w:rsidR="0051160F" w:rsidRDefault="006461A3">
      <w:pPr>
        <w:spacing w:after="149" w:line="259" w:lineRule="auto"/>
        <w:ind w:left="730" w:right="13"/>
      </w:pPr>
      <w:r>
        <w:t xml:space="preserve"> It is because Florida’s statute does not require the jury to</w:t>
      </w:r>
      <w:r>
        <w:t xml:space="preserve"> differentiate between entry into</w:t>
      </w:r>
    </w:p>
    <w:p w:rsidR="0051160F" w:rsidRDefault="006461A3">
      <w:pPr>
        <w:spacing w:after="242" w:line="259" w:lineRule="auto"/>
        <w:ind w:left="0" w:firstLine="0"/>
      </w:pPr>
      <w:r>
        <w:rPr>
          <w:rFonts w:ascii="Calibri" w:eastAsia="Calibri" w:hAnsi="Calibri" w:cs="Calibri"/>
          <w:noProof/>
          <w:sz w:val="22"/>
        </w:rPr>
        <mc:AlternateContent>
          <mc:Choice Requires="wpg">
            <w:drawing>
              <wp:inline distT="0" distB="0" distL="0" distR="0">
                <wp:extent cx="1827276" cy="12192"/>
                <wp:effectExtent l="0" t="0" r="0" b="0"/>
                <wp:docPr id="2601" name="Group 2601"/>
                <wp:cNvGraphicFramePr/>
                <a:graphic xmlns:a="http://schemas.openxmlformats.org/drawingml/2006/main">
                  <a:graphicData uri="http://schemas.microsoft.com/office/word/2010/wordprocessingGroup">
                    <wpg:wgp>
                      <wpg:cNvGrpSpPr/>
                      <wpg:grpSpPr>
                        <a:xfrm>
                          <a:off x="0" y="0"/>
                          <a:ext cx="1827276" cy="12192"/>
                          <a:chOff x="0" y="0"/>
                          <a:chExt cx="1827276" cy="12192"/>
                        </a:xfrm>
                      </wpg:grpSpPr>
                      <wps:wsp>
                        <wps:cNvPr id="3123" name="Shape 3123"/>
                        <wps:cNvSpPr/>
                        <wps:spPr>
                          <a:xfrm>
                            <a:off x="0" y="0"/>
                            <a:ext cx="1827276" cy="12192"/>
                          </a:xfrm>
                          <a:custGeom>
                            <a:avLst/>
                            <a:gdLst/>
                            <a:ahLst/>
                            <a:cxnLst/>
                            <a:rect l="0" t="0" r="0" b="0"/>
                            <a:pathLst>
                              <a:path w="1827276" h="12192">
                                <a:moveTo>
                                  <a:pt x="0" y="0"/>
                                </a:moveTo>
                                <a:lnTo>
                                  <a:pt x="1827276" y="0"/>
                                </a:lnTo>
                                <a:lnTo>
                                  <a:pt x="18272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FF3708" id="Group 2601" o:spid="_x0000_s1026" style="width:143.9pt;height:.95pt;mso-position-horizontal-relative:char;mso-position-vertical-relative:line" coordsize="182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">
                <v:shape id="Shape 3123" o:spid="_x0000_s1027" style="position:absolute;width:18272;height:121;visibility:visible;mso-wrap-style:square;v-text-anchor:top" coordsize="182727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WK8YA&#10;AADdAAAADwAAAGRycy9kb3ducmV2LnhtbESPzWrDMBCE74W8g9hCb42cuITgRgklpSVtLvnxAyzW&#10;1nZirYy0Tdy3rwqFHIeZ+YZZrAbXqQuF2Ho2MBlnoIgrb1uuDZTHt8c5qCjIFjvPZOCHIqyWo7sF&#10;FtZfeU+Xg9QqQTgWaKAR6QutY9WQwzj2PXHyvnxwKEmGWtuA1wR3nZ5m2Uw7bDktNNjTuqHqfPh2&#10;Brbvs/pU5jJ/Kulz9/rhg2yOW2Me7oeXZ1BCg9zC/+2NNZBPpjn8vUlP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TWK8YAAADdAAAADwAAAAAAAAAAAAAAAACYAgAAZHJz&#10;L2Rvd25yZXYueG1sUEsFBgAAAAAEAAQA9QAAAIsDAAAAAA==&#10;" path="m,l1827276,r,12192l,12192,,e" fillcolor="black" stroked="f" strokeweight="0">
                  <v:stroke miterlimit="83231f" joinstyle="miter"/>
                  <v:path arrowok="t" textboxrect="0,0,1827276,12192"/>
                </v:shape>
                <w10:anchorlock/>
              </v:group>
            </w:pict>
          </mc:Fallback>
        </mc:AlternateContent>
      </w:r>
    </w:p>
    <w:p w:rsidR="0051160F" w:rsidRDefault="006461A3">
      <w:pPr>
        <w:spacing w:after="231" w:line="284" w:lineRule="auto"/>
        <w:ind w:left="-15" w:right="13" w:firstLine="720"/>
      </w:pPr>
      <w:r>
        <w:rPr>
          <w:sz w:val="22"/>
          <w:vertAlign w:val="superscript"/>
        </w:rPr>
        <w:t>2</w:t>
      </w:r>
      <w:r>
        <w:t xml:space="preserve">Though the instruction varies depending on circumstances, the heart of the instruction is as follows: </w:t>
      </w:r>
    </w:p>
    <w:p w:rsidR="0051160F" w:rsidRDefault="006461A3">
      <w:pPr>
        <w:spacing w:after="280" w:line="241" w:lineRule="auto"/>
        <w:ind w:left="730" w:right="13"/>
      </w:pPr>
      <w:r>
        <w:t>To prove the crime of Burglary, the State must prove the following two elements beyond a reasonable doubt:</w:t>
      </w:r>
    </w:p>
    <w:p w:rsidR="0051160F" w:rsidRDefault="006461A3">
      <w:pPr>
        <w:numPr>
          <w:ilvl w:val="0"/>
          <w:numId w:val="1"/>
        </w:numPr>
        <w:spacing w:after="280" w:line="241" w:lineRule="auto"/>
        <w:ind w:right="1440"/>
      </w:pPr>
      <w:r>
        <w:t xml:space="preserve">(Defendant) entered a [structure] [conveyance] owned by or in thepossession of (person alleged).  </w:t>
      </w:r>
    </w:p>
    <w:p w:rsidR="0051160F" w:rsidRDefault="006461A3">
      <w:pPr>
        <w:numPr>
          <w:ilvl w:val="0"/>
          <w:numId w:val="1"/>
        </w:numPr>
        <w:spacing w:after="280" w:line="241" w:lineRule="auto"/>
        <w:ind w:right="1440"/>
      </w:pPr>
      <w:r>
        <w:t>At the time of entering the [structure] [conveyance], (defendant) had the intent to commit [the crime alleged] [an offense other than burglary or trespass] i</w:t>
      </w:r>
      <w:r>
        <w:t xml:space="preserve">n that [structure] [conveyance].  </w:t>
      </w:r>
    </w:p>
    <w:p w:rsidR="0051160F" w:rsidRDefault="006461A3">
      <w:pPr>
        <w:spacing w:line="241" w:lineRule="auto"/>
        <w:ind w:left="730" w:right="720"/>
        <w:jc w:val="both"/>
      </w:pPr>
      <w:r>
        <w:lastRenderedPageBreak/>
        <w:t>In the case of burglary of a dwelling, the instructions require the jury to determine whether the structure was a dwelling.  The instruction defines both “structure” and “dwelling” to include “the enclosed space of ground</w:t>
      </w:r>
      <w:r>
        <w:t xml:space="preserve"> and out buildings immediately surrounding” the structure or the building.</w:t>
      </w:r>
    </w:p>
    <w:p w:rsidR="0051160F" w:rsidRDefault="006461A3">
      <w:pPr>
        <w:ind w:left="-5" w:right="13"/>
      </w:pPr>
      <w:r>
        <w:t xml:space="preserve">the curtilage and entry into the structure that Florida’s statue indivisible.  </w:t>
      </w:r>
      <w:r>
        <w:rPr>
          <w:i/>
        </w:rPr>
        <w:t xml:space="preserve">See </w:t>
      </w:r>
      <w:r>
        <w:rPr>
          <w:u w:val="single" w:color="000000"/>
        </w:rPr>
        <w:t xml:space="preserve"> United States v. Estrella</w:t>
      </w:r>
      <w:r>
        <w:t>, 758 F.3d 1239, 1246 (11</w:t>
      </w:r>
      <w:r>
        <w:rPr>
          <w:sz w:val="22"/>
          <w:vertAlign w:val="superscript"/>
        </w:rPr>
        <w:t>th</w:t>
      </w:r>
      <w:r>
        <w:t xml:space="preserve"> Cir. 2014) (“But if the statutory scheme is </w:t>
      </w:r>
      <w:r>
        <w:t>not such that it would technically require the jury to agree to convict on the basis of one alternative as opposed to the other, then the statue is not divisible . . .”).  Because the statue is indivisible, the modified categorical approach is inapplicable</w:t>
      </w:r>
      <w:r>
        <w:t xml:space="preserve">.  </w:t>
      </w:r>
      <w:r>
        <w:rPr>
          <w:u w:val="single" w:color="000000"/>
        </w:rPr>
        <w:t>Decamps v. United States</w:t>
      </w:r>
      <w:r>
        <w:t>, 133 St. Ct. at 133.  Accordingly, regardless of what the charging document may or may not say and regardless of what facts are set out in the presentence report, a Florida conviction for burglary of a dwelling does not count as</w:t>
      </w:r>
      <w:r>
        <w:t xml:space="preserve"> a “burglary of a dwelling” for purposes of the United States Sentencing Guidelines</w:t>
      </w:r>
    </w:p>
    <w:p w:rsidR="0051160F" w:rsidRDefault="006461A3">
      <w:pPr>
        <w:ind w:left="-15" w:right="13" w:firstLine="720"/>
      </w:pPr>
      <w:r>
        <w:t>Mr. Smith recognizes that the Eleventh Circuit Court of Appeals has held that a conviction of Florida burglary of a dwelling statute still qualifies under the “residual cla</w:t>
      </w:r>
      <w:r>
        <w:t>use,” of</w:t>
      </w:r>
    </w:p>
    <w:p w:rsidR="0051160F" w:rsidRDefault="006461A3">
      <w:pPr>
        <w:spacing w:after="551"/>
        <w:ind w:left="-5" w:right="13"/>
      </w:pPr>
      <w:r>
        <w:t xml:space="preserve">USSG §B1.2(a)(2).  </w:t>
      </w:r>
      <w:r>
        <w:rPr>
          <w:i/>
        </w:rPr>
        <w:t>See</w:t>
      </w:r>
      <w:r>
        <w:t xml:space="preserve"> </w:t>
      </w:r>
      <w:r>
        <w:rPr>
          <w:u w:val="single" w:color="000000"/>
        </w:rPr>
        <w:t>United States v. Matchett</w:t>
      </w:r>
      <w:r>
        <w:t xml:space="preserve">, 802 F.3d 1185, 1197 (2015). And while </w:t>
      </w:r>
      <w:r>
        <w:rPr>
          <w:u w:val="single" w:color="000000"/>
        </w:rPr>
        <w:t>Matchett</w:t>
      </w:r>
      <w:r>
        <w:t xml:space="preserve"> is binding precedent for this Court, Mr. Smith contends that the decision was decided incorrectly. His position is that  the correct interpretation of</w:t>
      </w:r>
      <w:r>
        <w:t xml:space="preserve"> the law is found in such cases as </w:t>
      </w:r>
      <w:r>
        <w:rPr>
          <w:u w:val="single" w:color="000000"/>
        </w:rPr>
        <w:t>United States v. Madrid</w:t>
      </w:r>
      <w:r>
        <w:t>, 805 F.3d 1204, 1210 (10</w:t>
      </w:r>
      <w:r>
        <w:rPr>
          <w:sz w:val="22"/>
          <w:vertAlign w:val="superscript"/>
        </w:rPr>
        <w:t>th</w:t>
      </w:r>
      <w:r>
        <w:t xml:space="preserve"> Cir. 2015), where the court extended the holding in </w:t>
      </w:r>
      <w:r>
        <w:rPr>
          <w:u w:val="single" w:color="000000"/>
        </w:rPr>
        <w:t>Johnson v. United States</w:t>
      </w:r>
      <w:r>
        <w:t xml:space="preserve">, </w:t>
      </w:r>
      <w:r>
        <w:rPr>
          <w:i/>
        </w:rPr>
        <w:t>infra.</w:t>
      </w:r>
      <w:r>
        <w:t>, to the residual clause of the Guidelines and found that the clause violated the Fift</w:t>
      </w:r>
      <w:r>
        <w:t xml:space="preserve">h Amendment guarantee of due process.   </w:t>
      </w:r>
      <w:r>
        <w:rPr>
          <w:i/>
        </w:rPr>
        <w:t>See also</w:t>
      </w:r>
      <w:r>
        <w:t xml:space="preserve"> </w:t>
      </w:r>
      <w:r>
        <w:rPr>
          <w:u w:val="single" w:color="000000"/>
        </w:rPr>
        <w:t>Cummings v. United States</w:t>
      </w:r>
      <w:r>
        <w:t xml:space="preserve">, Case No. 15-CV-1219, 2016 WL 799267, *8-9 (E.D. Wis. February 2, 2016) (where the court cites a list of cases in support of its conclusion that “the clear weight of other circuits </w:t>
      </w:r>
      <w:r>
        <w:t xml:space="preserve">authority supports application of </w:t>
      </w:r>
      <w:r>
        <w:rPr>
          <w:u w:val="single" w:color="000000"/>
        </w:rPr>
        <w:t>Johnson</w:t>
      </w:r>
      <w:r>
        <w:t xml:space="preserve"> to the guidelines (at least on direct review)”(Sip copy). </w:t>
      </w:r>
    </w:p>
    <w:p w:rsidR="0051160F" w:rsidRDefault="006461A3">
      <w:pPr>
        <w:pStyle w:val="Heading1"/>
        <w:ind w:right="2"/>
      </w:pPr>
      <w:r>
        <w:lastRenderedPageBreak/>
        <w:t>Guidelines Amendment</w:t>
      </w:r>
    </w:p>
    <w:p w:rsidR="0051160F" w:rsidRDefault="006461A3">
      <w:pPr>
        <w:ind w:left="-15" w:right="13" w:firstLine="720"/>
      </w:pPr>
      <w:r>
        <w:t>The United States Sentencing Commission has promulgated an amendment to the definition of “crime of violence” that is scheduled to tak</w:t>
      </w:r>
      <w:r>
        <w:t>e effect on  August 1, 2016.  The amendment is available on the web page of the United States Sentencing Commission at www.ussc.gov.  A copy of the amendment is attached as Exhibit One.  It amends § 4B1.2(a)(2) by striking the residual clause of that parag</w:t>
      </w:r>
      <w:r>
        <w:t>raph.  It also deletes the crime of burglary of a dwelling from the enumerated offenses. The amended version reads as follows:</w:t>
      </w:r>
    </w:p>
    <w:p w:rsidR="0051160F" w:rsidRDefault="006461A3">
      <w:pPr>
        <w:spacing w:after="280" w:line="241" w:lineRule="auto"/>
        <w:ind w:left="730" w:right="117"/>
      </w:pPr>
      <w:r>
        <w:t>(a) the term “crime of violence” means any offense under federal or state law, punishable by imprisonment for a term exceeding on</w:t>
      </w:r>
      <w:r>
        <w:t xml:space="preserve">e year, that - </w:t>
      </w:r>
    </w:p>
    <w:p w:rsidR="0051160F" w:rsidRDefault="006461A3">
      <w:pPr>
        <w:numPr>
          <w:ilvl w:val="0"/>
          <w:numId w:val="2"/>
        </w:numPr>
        <w:spacing w:after="280" w:line="241" w:lineRule="auto"/>
        <w:ind w:right="1303"/>
      </w:pPr>
      <w:r>
        <w:t>has as an element the use, attempted use, or threatened use ofphysical force against the person of another, or</w:t>
      </w:r>
    </w:p>
    <w:p w:rsidR="0051160F" w:rsidRDefault="006461A3">
      <w:pPr>
        <w:numPr>
          <w:ilvl w:val="0"/>
          <w:numId w:val="2"/>
        </w:numPr>
        <w:spacing w:after="280" w:line="241" w:lineRule="auto"/>
        <w:ind w:right="1303"/>
      </w:pPr>
      <w:r>
        <w:t>is murder, voluntary manslaughter, kidnaping, aggravatedassault, a forcible sex offense, robbery, or the use or unlawful possessi</w:t>
      </w:r>
      <w:r>
        <w:t>on of a firearm described in 26 U.S.C. § 5845(a) or explosive material as defined in 18 U.S.C. § 841(c).</w:t>
      </w:r>
    </w:p>
    <w:p w:rsidR="0051160F" w:rsidRDefault="006461A3">
      <w:pPr>
        <w:ind w:left="-5" w:right="13"/>
      </w:pPr>
      <w:r>
        <w:t xml:space="preserve">Ex. One, pp. 5-6. In the “Reason for Amendment,” the Sentencing Commission explained that it struck the residual clause because it “implicates many of </w:t>
      </w:r>
      <w:r>
        <w:t xml:space="preserve">the same concerns cited by the Supreme Court in </w:t>
      </w:r>
      <w:r>
        <w:rPr>
          <w:u w:val="single" w:color="000000"/>
        </w:rPr>
        <w:t>Johnson</w:t>
      </w:r>
      <w:r>
        <w:t xml:space="preserve">.” </w:t>
      </w:r>
      <w:r>
        <w:rPr>
          <w:i/>
        </w:rPr>
        <w:t xml:space="preserve">Id. </w:t>
      </w:r>
      <w:r>
        <w:t>at 2.  The Commission deleted burglary from the list of enumerated offenses for a number of reasons, among them the fact that “several recent studies demonstrate that most burglaries do not invo</w:t>
      </w:r>
      <w:r>
        <w:t>lve physical violence”:</w:t>
      </w:r>
    </w:p>
    <w:p w:rsidR="0051160F" w:rsidRDefault="006461A3">
      <w:pPr>
        <w:spacing w:after="280" w:line="241" w:lineRule="auto"/>
        <w:ind w:left="730" w:right="639"/>
      </w:pPr>
      <w:r>
        <w:t>The amendment deletes “burglary of a dwelling” from the list of enumerated offenses.  In implementing this change, the Commission considered that (1) burglary offenses rarely result in physical violence, (2) “burglary of a dwelling”</w:t>
      </w:r>
      <w:r>
        <w:t xml:space="preserve"> is rarely the instant offense of conviction or the determinative predicate for purposes of triggering higher penalties under the career offender guideline, and (3) historically, career offenders have rarely been rearrested for a burglary offense after rel</w:t>
      </w:r>
      <w:r>
        <w:t>ease.</w:t>
      </w:r>
    </w:p>
    <w:p w:rsidR="0051160F" w:rsidRDefault="006461A3">
      <w:pPr>
        <w:spacing w:after="259" w:line="259" w:lineRule="auto"/>
        <w:ind w:left="-5" w:right="13"/>
      </w:pPr>
      <w:r>
        <w:rPr>
          <w:i/>
        </w:rPr>
        <w:t xml:space="preserve">Id. </w:t>
      </w:r>
      <w:r>
        <w:t>at 3.</w:t>
      </w:r>
    </w:p>
    <w:p w:rsidR="0051160F" w:rsidRDefault="006461A3">
      <w:pPr>
        <w:spacing w:line="259" w:lineRule="auto"/>
        <w:ind w:left="730" w:right="13"/>
      </w:pPr>
      <w:r>
        <w:t>Mr. Smith is scheduled to be sentenced on June 16, about six weeks before the</w:t>
      </w:r>
    </w:p>
    <w:p w:rsidR="0051160F" w:rsidRDefault="006461A3">
      <w:pPr>
        <w:ind w:left="-5" w:right="13"/>
      </w:pPr>
      <w:r>
        <w:lastRenderedPageBreak/>
        <w:t>amendment takes effect.  Because of that, this Court has the authority to ignore the amendment and sentence him under the existing guideline. Subsection (a)(2) of 18 U.S.C. § 3553(a) requires sentencing courts to consider “the need for the sentence imposed</w:t>
      </w:r>
      <w:r>
        <w:t xml:space="preserve"> - to reflect the seriousness of the offense, to promote respect for the law, and to provide just punishment for the offense.” Congress has charged the United States Sentencing Commission with the responsibility of modifying the sentencing guidelines over </w:t>
      </w:r>
      <w:r>
        <w:t xml:space="preserve">time as new information and new decisions affect sentencing rationale. </w:t>
      </w:r>
      <w:r>
        <w:rPr>
          <w:i/>
        </w:rPr>
        <w:t xml:space="preserve">See </w:t>
      </w:r>
      <w:r>
        <w:t>28 U.S.C. § 994(o). In this instance, the Commission has concluded that a longer sentence for those in Mr. Smith’s circumstance is no longer justified on the basis of a prior burgla</w:t>
      </w:r>
      <w:r>
        <w:t>ry conviction.  The conclusion carries as much weight now as it will after August 1. A sentence consistent with the new guideline would “reflect the seriousness of the offense, promote respect for the law, and provide just punishment for the offense” far m</w:t>
      </w:r>
      <w:r>
        <w:t>ore so than a sentence based on the existing guideline, which relies upon assumptions that are no longer valid.</w:t>
      </w:r>
    </w:p>
    <w:p w:rsidR="0051160F" w:rsidRDefault="006461A3">
      <w:pPr>
        <w:pStyle w:val="Heading1"/>
        <w:ind w:right="2"/>
      </w:pPr>
      <w:r>
        <w:t>Conclusion</w:t>
      </w:r>
    </w:p>
    <w:p w:rsidR="0051160F" w:rsidRDefault="006461A3">
      <w:pPr>
        <w:ind w:left="-15" w:right="13" w:firstLine="720"/>
      </w:pPr>
      <w:r>
        <w:t xml:space="preserve">While recognizing this Court’s obligation to follow existing precedent, Mr. Smith contends that his prior conviction for burglary of </w:t>
      </w:r>
      <w:r>
        <w:t xml:space="preserve">a dwelling is not a “crime of violence” because, as recognized in such cases as </w:t>
      </w:r>
      <w:r>
        <w:rPr>
          <w:u w:val="single" w:color="000000"/>
        </w:rPr>
        <w:t>United States v. Madrid</w:t>
      </w:r>
      <w:r>
        <w:t xml:space="preserve">, </w:t>
      </w:r>
      <w:r>
        <w:rPr>
          <w:i/>
        </w:rPr>
        <w:t>infra</w:t>
      </w:r>
      <w:r>
        <w:t>., the residual clause of USSG §4B1.2(a)(2)  is so vague  it violates the guarantee of due process. Should this Court, following existing preceden</w:t>
      </w:r>
      <w:r>
        <w:t>t, conclude that the burglary offense does qualify as a crime of violence for purposes of the Guidelines, Mr. Smith asks the Court to adopt the reasoning of the United States Sentencing Commission and impose a sentence that reflects the August 1, 2016, ame</w:t>
      </w:r>
      <w:r>
        <w:t>ndment.</w:t>
      </w:r>
    </w:p>
    <w:p w:rsidR="0051160F" w:rsidRDefault="006461A3">
      <w:pPr>
        <w:spacing w:after="258" w:line="259" w:lineRule="auto"/>
        <w:ind w:left="0" w:right="1" w:firstLine="0"/>
        <w:jc w:val="center"/>
      </w:pPr>
      <w:r>
        <w:rPr>
          <w:b/>
          <w:u w:val="single" w:color="000000"/>
        </w:rPr>
        <w:t>CERTIFICATE OF SERVICE</w:t>
      </w:r>
    </w:p>
    <w:p w:rsidR="0051160F" w:rsidRDefault="006461A3">
      <w:pPr>
        <w:spacing w:after="259" w:line="259" w:lineRule="auto"/>
        <w:ind w:left="0" w:right="831" w:firstLine="0"/>
        <w:jc w:val="right"/>
      </w:pPr>
      <w:r>
        <w:t>I certify that a copy of the foregoing has been furnished via electronic delivery to</w:t>
      </w:r>
    </w:p>
    <w:p w:rsidR="0051160F" w:rsidRDefault="006461A3">
      <w:pPr>
        <w:spacing w:after="593"/>
        <w:ind w:left="-5" w:right="13"/>
      </w:pPr>
      <w:r>
        <w:t>Assistant United States Attorney Herbert Lindsey this 21st day of April, 2016.</w:t>
      </w:r>
    </w:p>
    <w:p w:rsidR="0051160F" w:rsidRDefault="006461A3">
      <w:pPr>
        <w:spacing w:after="258" w:line="259" w:lineRule="auto"/>
        <w:ind w:left="1636" w:right="68"/>
        <w:jc w:val="center"/>
      </w:pPr>
      <w:r>
        <w:lastRenderedPageBreak/>
        <w:t>Respectfully submitted,</w:t>
      </w:r>
    </w:p>
    <w:p w:rsidR="0051160F" w:rsidRDefault="006461A3">
      <w:pPr>
        <w:spacing w:after="0" w:line="259" w:lineRule="auto"/>
        <w:ind w:left="4320" w:firstLine="0"/>
      </w:pPr>
      <w:r>
        <w:rPr>
          <w:i/>
          <w:u w:val="single" w:color="000000"/>
        </w:rPr>
        <w:t xml:space="preserve">s/Randolph P. Murrell                               </w:t>
      </w:r>
    </w:p>
    <w:p w:rsidR="0051160F" w:rsidRDefault="006461A3">
      <w:pPr>
        <w:spacing w:line="259" w:lineRule="auto"/>
        <w:ind w:left="4330" w:right="13"/>
      </w:pPr>
      <w:r>
        <w:t>RANDOLPH P. MURRELL</w:t>
      </w:r>
    </w:p>
    <w:p w:rsidR="0051160F" w:rsidRDefault="006461A3">
      <w:pPr>
        <w:spacing w:after="0" w:line="259" w:lineRule="auto"/>
        <w:ind w:left="1636"/>
        <w:jc w:val="center"/>
      </w:pPr>
      <w:r>
        <w:t>Federal Public Defender</w:t>
      </w:r>
    </w:p>
    <w:p w:rsidR="0051160F" w:rsidRDefault="006461A3">
      <w:pPr>
        <w:spacing w:after="0" w:line="259" w:lineRule="auto"/>
        <w:ind w:left="1636" w:right="53"/>
        <w:jc w:val="center"/>
      </w:pPr>
      <w:r>
        <w:t>Florida Bar No. 220256</w:t>
      </w:r>
    </w:p>
    <w:p w:rsidR="0051160F" w:rsidRDefault="006461A3">
      <w:pPr>
        <w:spacing w:line="259" w:lineRule="auto"/>
        <w:ind w:left="4330" w:right="13"/>
      </w:pPr>
      <w:r>
        <w:t>227 N. Bronough Street, Suite 4200</w:t>
      </w:r>
    </w:p>
    <w:p w:rsidR="0051160F" w:rsidRDefault="006461A3">
      <w:pPr>
        <w:spacing w:after="0" w:line="259" w:lineRule="auto"/>
        <w:ind w:left="1636" w:right="107"/>
        <w:jc w:val="center"/>
      </w:pPr>
      <w:r>
        <w:t>Tallahassee, FL  32301</w:t>
      </w:r>
    </w:p>
    <w:p w:rsidR="0051160F" w:rsidRDefault="006461A3">
      <w:pPr>
        <w:spacing w:after="0" w:line="259" w:lineRule="auto"/>
        <w:ind w:left="1636" w:right="187"/>
        <w:jc w:val="center"/>
      </w:pPr>
      <w:r>
        <w:t>Phone (850) 942-8818</w:t>
      </w:r>
    </w:p>
    <w:p w:rsidR="0051160F" w:rsidRDefault="006461A3">
      <w:pPr>
        <w:spacing w:after="0" w:line="259" w:lineRule="auto"/>
        <w:ind w:left="1636" w:right="427"/>
        <w:jc w:val="center"/>
      </w:pPr>
      <w:r>
        <w:t>Fax (850) 942-8809</w:t>
      </w:r>
    </w:p>
    <w:p w:rsidR="0051160F" w:rsidRDefault="006461A3">
      <w:pPr>
        <w:spacing w:after="259" w:line="259" w:lineRule="auto"/>
        <w:ind w:left="1636" w:right="95"/>
        <w:jc w:val="center"/>
      </w:pPr>
      <w:r>
        <w:t>Attorney for Defendant</w:t>
      </w:r>
    </w:p>
    <w:p w:rsidR="0051160F" w:rsidRDefault="006461A3">
      <w:pPr>
        <w:spacing w:after="0" w:line="240" w:lineRule="auto"/>
        <w:ind w:left="0" w:firstLine="0"/>
      </w:pPr>
      <w:r>
        <w:t>*</w:t>
      </w:r>
      <w:r>
        <w:rPr>
          <w:i/>
        </w:rPr>
        <w:t>For purposes of privacy, a fictional name has been substituted for the name of the actual defendant</w:t>
      </w:r>
    </w:p>
    <w:sectPr w:rsidR="0051160F">
      <w:footerReference w:type="even" r:id="rId7"/>
      <w:footerReference w:type="default" r:id="rId8"/>
      <w:footerReference w:type="first" r:id="rId9"/>
      <w:footnotePr>
        <w:numRestart w:val="eachPage"/>
      </w:footnotePr>
      <w:pgSz w:w="12240" w:h="15840"/>
      <w:pgMar w:top="1452" w:right="1438" w:bottom="1529"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61A3">
      <w:pPr>
        <w:spacing w:after="0" w:line="240" w:lineRule="auto"/>
      </w:pPr>
      <w:r>
        <w:separator/>
      </w:r>
    </w:p>
  </w:endnote>
  <w:endnote w:type="continuationSeparator" w:id="0">
    <w:p w:rsidR="00000000" w:rsidRDefault="0064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0F" w:rsidRDefault="006461A3">
    <w:pPr>
      <w:spacing w:after="0" w:line="259" w:lineRule="auto"/>
      <w:ind w:left="0" w:right="2"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0F" w:rsidRDefault="006461A3">
    <w:pPr>
      <w:spacing w:after="0" w:line="259" w:lineRule="auto"/>
      <w:ind w:left="0" w:right="2" w:firstLine="0"/>
      <w:jc w:val="center"/>
    </w:pPr>
    <w:r>
      <w:fldChar w:fldCharType="begin"/>
    </w:r>
    <w:r>
      <w:instrText xml:space="preserve"> PAGE   \* MERGEFORMAT </w:instrText>
    </w:r>
    <w:r>
      <w:fldChar w:fldCharType="separate"/>
    </w:r>
    <w:r>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0F" w:rsidRDefault="0051160F">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0F" w:rsidRDefault="006461A3">
      <w:pPr>
        <w:spacing w:after="0" w:line="242" w:lineRule="auto"/>
        <w:ind w:left="0" w:firstLine="720"/>
        <w:jc w:val="both"/>
      </w:pPr>
      <w:r>
        <w:separator/>
      </w:r>
    </w:p>
  </w:footnote>
  <w:footnote w:type="continuationSeparator" w:id="0">
    <w:p w:rsidR="0051160F" w:rsidRDefault="006461A3">
      <w:pPr>
        <w:spacing w:after="0" w:line="242" w:lineRule="auto"/>
        <w:ind w:left="0" w:firstLine="720"/>
        <w:jc w:val="both"/>
      </w:pPr>
      <w:r>
        <w:continuationSeparator/>
      </w:r>
    </w:p>
  </w:footnote>
  <w:footnote w:id="1">
    <w:p w:rsidR="0051160F" w:rsidRDefault="006461A3">
      <w:pPr>
        <w:pStyle w:val="footnotedescription"/>
      </w:pPr>
      <w:r>
        <w:rPr>
          <w:rStyle w:val="footnotemark"/>
        </w:rPr>
        <w:footnoteRef/>
      </w:r>
      <w:r>
        <w:t xml:space="preserve"> The mandate in </w:t>
      </w:r>
      <w:r>
        <w:rPr>
          <w:u w:val="single" w:color="000000"/>
        </w:rPr>
        <w:t>Lockett</w:t>
      </w:r>
      <w:r>
        <w:t xml:space="preserve"> was recalled by the Eleventh Circuit without explanation on February 24, 2016, presumably to await for the Supreme Court decision in </w:t>
      </w:r>
      <w:r>
        <w:rPr>
          <w:u w:val="single" w:color="000000"/>
        </w:rPr>
        <w:t>Mathis v. United States</w:t>
      </w:r>
      <w:r>
        <w:t>, No. 15-474 (argument scheduled for April 26, 2016). The Eleventh Circuit’s own internal operating</w:t>
      </w:r>
      <w:r>
        <w:t xml:space="preserve"> procedures, however, indicate that “published opinions are binding precedent” and that “[t]he issuance or non-issuance of the mandate does not affect this result.” 11</w:t>
      </w:r>
      <w:r>
        <w:rPr>
          <w:sz w:val="22"/>
          <w:vertAlign w:val="superscript"/>
        </w:rPr>
        <w:t>th</w:t>
      </w:r>
      <w:r>
        <w:t xml:space="preserve"> Cir. R. 36, I.O.P.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142A9"/>
    <w:multiLevelType w:val="hybridMultilevel"/>
    <w:tmpl w:val="232A75DA"/>
    <w:lvl w:ilvl="0" w:tplc="8A682972">
      <w:start w:val="1"/>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580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09C2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CF4A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CFDF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2E92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41A9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AB23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84ED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21169A"/>
    <w:multiLevelType w:val="hybridMultilevel"/>
    <w:tmpl w:val="A98CFF20"/>
    <w:lvl w:ilvl="0" w:tplc="FFC49D54">
      <w:start w:val="1"/>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E45D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48BA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4848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6467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40C5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EEFD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233A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E390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0F"/>
    <w:rsid w:val="0051160F"/>
    <w:rsid w:val="0064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510A5-893A-4C3D-A9F7-1133BDBC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84"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5"/>
      <w:ind w:left="10" w:right="1" w:hanging="10"/>
      <w:jc w:val="center"/>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after="0" w:line="242" w:lineRule="auto"/>
      <w:ind w:firstLine="720"/>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P:\MURRELL\Sentencing Memos for Webpage\Payne - Crime of Violence.wpd</vt:lpstr>
    </vt:vector>
  </TitlesOfParts>
  <Company>Office of the Federal Public Defender</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P:\MURRELL\Sentencing Memos for Webpage\Payne - Crime of Violence.wpd</dc:title>
  <dc:subject/>
  <dc:creator>Murrell</dc:creator>
  <cp:keywords/>
  <cp:lastModifiedBy>James Stein</cp:lastModifiedBy>
  <cp:revision>2</cp:revision>
  <dcterms:created xsi:type="dcterms:W3CDTF">2016-04-21T18:26:00Z</dcterms:created>
  <dcterms:modified xsi:type="dcterms:W3CDTF">2016-04-21T18:26:00Z</dcterms:modified>
</cp:coreProperties>
</file>